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uto"/>
        <w:jc w:val="center"/>
        <w:rPr>
          <w:rFonts w:ascii="宋体" w:hAnsi="宋体" w:eastAsia="宋体" w:cs="宋体"/>
          <w:b/>
          <w:bCs/>
          <w:sz w:val="36"/>
          <w:szCs w:val="36"/>
        </w:rPr>
      </w:pPr>
      <w:r>
        <w:rPr>
          <w:rFonts w:hint="eastAsia" w:ascii="宋体" w:hAnsi="宋体" w:eastAsia="宋体" w:cs="宋体"/>
          <w:b/>
          <w:bCs/>
          <w:sz w:val="36"/>
          <w:szCs w:val="36"/>
        </w:rPr>
        <w:t>电脑室桌椅询价采购</w:t>
      </w:r>
    </w:p>
    <w:p>
      <w:pPr>
        <w:pStyle w:val="2"/>
        <w:widowControl/>
        <w:shd w:val="clear" w:color="auto" w:fill="FFFFFF"/>
        <w:spacing w:beforeAutospacing="0" w:afterAutospacing="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一、项目概况</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1、项目地点：莆田开放大学</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2、项目内容：莆田开放大学电脑室桌椅</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3、采购方式：询价采购</w:t>
      </w:r>
    </w:p>
    <w:p>
      <w:pPr>
        <w:widowControl/>
        <w:numPr>
          <w:ilvl w:val="0"/>
          <w:numId w:val="1"/>
        </w:numPr>
        <w:shd w:val="clear" w:color="auto" w:fill="FFFFFF"/>
        <w:spacing w:line="360" w:lineRule="auto"/>
        <w:ind w:firstLine="562" w:firstLineChars="200"/>
        <w:jc w:val="left"/>
        <w:rPr>
          <w:rFonts w:ascii="宋体" w:hAnsi="宋体" w:eastAsia="宋体" w:cs="宋体"/>
          <w:kern w:val="0"/>
          <w:sz w:val="24"/>
        </w:rPr>
      </w:pPr>
      <w:r>
        <w:rPr>
          <w:rFonts w:hint="eastAsia" w:ascii="宋体" w:hAnsi="宋体" w:eastAsia="宋体" w:cs="宋体"/>
          <w:b/>
          <w:bCs/>
          <w:kern w:val="0"/>
          <w:sz w:val="28"/>
          <w:szCs w:val="28"/>
        </w:rPr>
        <w:t>资格标准及提供材料</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凡有能力提供所述项目的供应商，具有法人资格的报价人，报价时需同时提交以下资质证明文件：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1.报价人的营业执照副本复印件（应具备本次项目的经营范围）；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2.法定代表人身份证复印件（正反面的复印件）；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3.加盖公章报价文件。</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三、报价须知</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1、公告时间：202</w:t>
      </w:r>
      <w:r>
        <w:rPr>
          <w:rFonts w:hint="eastAsia" w:ascii="宋体" w:hAnsi="宋体" w:eastAsia="宋体" w:cs="宋体"/>
          <w:kern w:val="0"/>
          <w:sz w:val="24"/>
        </w:rPr>
        <w:t>3</w:t>
      </w:r>
      <w:r>
        <w:rPr>
          <w:rFonts w:ascii="宋体" w:hAnsi="宋体" w:eastAsia="宋体" w:cs="宋体"/>
          <w:kern w:val="0"/>
          <w:sz w:val="24"/>
        </w:rPr>
        <w:t>年</w:t>
      </w:r>
      <w:r>
        <w:rPr>
          <w:rFonts w:hint="eastAsia" w:ascii="宋体" w:hAnsi="宋体" w:eastAsia="宋体" w:cs="宋体"/>
          <w:kern w:val="0"/>
          <w:sz w:val="24"/>
        </w:rPr>
        <w:t>5</w:t>
      </w:r>
      <w:r>
        <w:rPr>
          <w:rFonts w:ascii="宋体" w:hAnsi="宋体" w:eastAsia="宋体" w:cs="宋体"/>
          <w:kern w:val="0"/>
          <w:sz w:val="24"/>
        </w:rPr>
        <w:t>月</w:t>
      </w:r>
      <w:r>
        <w:rPr>
          <w:rFonts w:hint="eastAsia" w:ascii="宋体" w:hAnsi="宋体" w:eastAsia="宋体" w:cs="宋体"/>
          <w:kern w:val="0"/>
          <w:sz w:val="24"/>
          <w:lang w:val="en-US" w:eastAsia="zh-CN"/>
        </w:rPr>
        <w:t>23</w:t>
      </w:r>
      <w:r>
        <w:rPr>
          <w:rFonts w:hint="eastAsia" w:ascii="宋体" w:hAnsi="宋体" w:eastAsia="宋体" w:cs="宋体"/>
          <w:kern w:val="0"/>
          <w:sz w:val="24"/>
        </w:rPr>
        <w:t xml:space="preserve"> </w:t>
      </w:r>
      <w:r>
        <w:rPr>
          <w:rFonts w:ascii="宋体" w:hAnsi="宋体" w:eastAsia="宋体" w:cs="宋体"/>
          <w:kern w:val="0"/>
          <w:sz w:val="24"/>
        </w:rPr>
        <w:t>日</w:t>
      </w:r>
      <w:r>
        <w:rPr>
          <w:rFonts w:hint="eastAsia" w:ascii="宋体" w:hAnsi="宋体" w:eastAsia="宋体" w:cs="宋体"/>
          <w:kern w:val="0"/>
          <w:sz w:val="24"/>
        </w:rPr>
        <w:t xml:space="preserve"> </w:t>
      </w:r>
      <w:r>
        <w:rPr>
          <w:rFonts w:ascii="宋体" w:hAnsi="宋体" w:eastAsia="宋体" w:cs="宋体"/>
          <w:kern w:val="0"/>
          <w:sz w:val="24"/>
        </w:rPr>
        <w:t>至</w:t>
      </w:r>
      <w:r>
        <w:rPr>
          <w:rFonts w:hint="eastAsia" w:ascii="宋体" w:hAnsi="宋体" w:eastAsia="宋体" w:cs="宋体"/>
          <w:kern w:val="0"/>
          <w:sz w:val="24"/>
        </w:rPr>
        <w:t xml:space="preserve"> </w:t>
      </w:r>
      <w:r>
        <w:rPr>
          <w:rFonts w:ascii="宋体" w:hAnsi="宋体" w:eastAsia="宋体" w:cs="宋体"/>
          <w:kern w:val="0"/>
          <w:sz w:val="24"/>
        </w:rPr>
        <w:t>202</w:t>
      </w:r>
      <w:r>
        <w:rPr>
          <w:rFonts w:hint="eastAsia" w:ascii="宋体" w:hAnsi="宋体" w:eastAsia="宋体" w:cs="宋体"/>
          <w:kern w:val="0"/>
          <w:sz w:val="24"/>
        </w:rPr>
        <w:t>3</w:t>
      </w:r>
      <w:r>
        <w:rPr>
          <w:rFonts w:ascii="宋体" w:hAnsi="宋体" w:eastAsia="宋体" w:cs="宋体"/>
          <w:kern w:val="0"/>
          <w:sz w:val="24"/>
        </w:rPr>
        <w:t>年</w:t>
      </w:r>
      <w:r>
        <w:rPr>
          <w:rFonts w:hint="eastAsia" w:ascii="宋体" w:hAnsi="宋体" w:eastAsia="宋体" w:cs="宋体"/>
          <w:kern w:val="0"/>
          <w:sz w:val="24"/>
        </w:rPr>
        <w:t>5</w:t>
      </w:r>
      <w:r>
        <w:rPr>
          <w:rFonts w:ascii="宋体" w:hAnsi="宋体" w:eastAsia="宋体" w:cs="宋体"/>
          <w:kern w:val="0"/>
          <w:sz w:val="24"/>
        </w:rPr>
        <w:t>月</w:t>
      </w:r>
      <w:r>
        <w:rPr>
          <w:rFonts w:hint="eastAsia" w:ascii="宋体" w:hAnsi="宋体" w:eastAsia="宋体" w:cs="宋体"/>
          <w:kern w:val="0"/>
          <w:sz w:val="24"/>
        </w:rPr>
        <w:t>2</w:t>
      </w:r>
      <w:r>
        <w:rPr>
          <w:rFonts w:hint="eastAsia" w:ascii="宋体" w:hAnsi="宋体" w:eastAsia="宋体" w:cs="宋体"/>
          <w:kern w:val="0"/>
          <w:sz w:val="24"/>
          <w:lang w:val="en-US" w:eastAsia="zh-CN"/>
        </w:rPr>
        <w:t>6</w:t>
      </w:r>
      <w:r>
        <w:rPr>
          <w:rFonts w:hint="eastAsia" w:ascii="宋体" w:hAnsi="宋体" w:eastAsia="宋体" w:cs="宋体"/>
          <w:kern w:val="0"/>
          <w:sz w:val="24"/>
        </w:rPr>
        <w:t xml:space="preserve"> </w:t>
      </w:r>
      <w:r>
        <w:rPr>
          <w:rFonts w:ascii="宋体" w:hAnsi="宋体" w:eastAsia="宋体" w:cs="宋体"/>
          <w:kern w:val="0"/>
          <w:sz w:val="24"/>
        </w:rPr>
        <w:t>日</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2、报价截止时间：202</w:t>
      </w:r>
      <w:r>
        <w:rPr>
          <w:rFonts w:hint="eastAsia" w:ascii="宋体" w:hAnsi="宋体" w:eastAsia="宋体" w:cs="宋体"/>
          <w:kern w:val="0"/>
          <w:sz w:val="24"/>
        </w:rPr>
        <w:t>3</w:t>
      </w:r>
      <w:r>
        <w:rPr>
          <w:rFonts w:ascii="宋体" w:hAnsi="宋体" w:eastAsia="宋体" w:cs="宋体"/>
          <w:kern w:val="0"/>
          <w:sz w:val="24"/>
        </w:rPr>
        <w:t>年</w:t>
      </w:r>
      <w:r>
        <w:rPr>
          <w:rFonts w:hint="eastAsia" w:ascii="宋体" w:hAnsi="宋体" w:eastAsia="宋体" w:cs="宋体"/>
          <w:kern w:val="0"/>
          <w:sz w:val="24"/>
        </w:rPr>
        <w:t>5</w:t>
      </w:r>
      <w:r>
        <w:rPr>
          <w:rFonts w:ascii="宋体" w:hAnsi="宋体" w:eastAsia="宋体" w:cs="宋体"/>
          <w:kern w:val="0"/>
          <w:sz w:val="24"/>
        </w:rPr>
        <w:t>月</w:t>
      </w:r>
      <w:r>
        <w:rPr>
          <w:rFonts w:hint="eastAsia" w:ascii="宋体" w:hAnsi="宋体" w:eastAsia="宋体" w:cs="宋体"/>
          <w:kern w:val="0"/>
          <w:sz w:val="24"/>
        </w:rPr>
        <w:t>2</w:t>
      </w:r>
      <w:r>
        <w:rPr>
          <w:rFonts w:hint="eastAsia" w:ascii="宋体" w:hAnsi="宋体" w:eastAsia="宋体" w:cs="宋体"/>
          <w:kern w:val="0"/>
          <w:sz w:val="24"/>
          <w:lang w:val="en-US" w:eastAsia="zh-CN"/>
        </w:rPr>
        <w:t>6</w:t>
      </w:r>
      <w:r>
        <w:rPr>
          <w:rFonts w:hint="eastAsia" w:ascii="宋体" w:hAnsi="宋体" w:eastAsia="宋体" w:cs="宋体"/>
          <w:kern w:val="0"/>
          <w:sz w:val="24"/>
        </w:rPr>
        <w:t xml:space="preserve"> </w:t>
      </w:r>
      <w:r>
        <w:rPr>
          <w:rFonts w:ascii="宋体" w:hAnsi="宋体" w:eastAsia="宋体" w:cs="宋体"/>
          <w:kern w:val="0"/>
          <w:sz w:val="24"/>
        </w:rPr>
        <w:t>日</w:t>
      </w:r>
      <w:r>
        <w:rPr>
          <w:rFonts w:hint="eastAsia" w:ascii="宋体" w:hAnsi="宋体" w:eastAsia="宋体" w:cs="宋体"/>
          <w:kern w:val="0"/>
          <w:sz w:val="24"/>
        </w:rPr>
        <w:t>上午</w:t>
      </w:r>
      <w:r>
        <w:rPr>
          <w:rFonts w:hint="eastAsia" w:ascii="宋体" w:hAnsi="宋体" w:eastAsia="宋体" w:cs="宋体"/>
          <w:kern w:val="0"/>
          <w:sz w:val="24"/>
          <w:lang w:val="en-US" w:eastAsia="zh-CN"/>
        </w:rPr>
        <w:t>10</w:t>
      </w:r>
      <w:r>
        <w:rPr>
          <w:rFonts w:hint="eastAsia" w:ascii="宋体" w:hAnsi="宋体" w:eastAsia="宋体" w:cs="宋体"/>
          <w:kern w:val="0"/>
          <w:sz w:val="24"/>
        </w:rPr>
        <w:t>:00</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3、本项目预算限额：</w:t>
      </w:r>
      <w:r>
        <w:rPr>
          <w:rFonts w:hint="eastAsia" w:ascii="宋体" w:hAnsi="宋体" w:eastAsia="宋体" w:cs="宋体"/>
          <w:kern w:val="0"/>
          <w:sz w:val="24"/>
          <w:lang w:val="en-US" w:eastAsia="zh-CN"/>
        </w:rPr>
        <w:t>10000</w:t>
      </w:r>
      <w:r>
        <w:rPr>
          <w:rFonts w:hint="eastAsia" w:ascii="宋体" w:hAnsi="宋体" w:eastAsia="宋体" w:cs="宋体"/>
          <w:kern w:val="0"/>
          <w:sz w:val="24"/>
        </w:rPr>
        <w:t>0</w:t>
      </w:r>
      <w:r>
        <w:rPr>
          <w:rFonts w:ascii="宋体" w:hAnsi="宋体" w:eastAsia="宋体" w:cs="宋体"/>
          <w:kern w:val="0"/>
          <w:sz w:val="24"/>
        </w:rPr>
        <w:t>元，超过预算限额的为无效报价，符合要求的最低报价方为中标供应商。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kern w:val="0"/>
          <w:sz w:val="24"/>
          <w:szCs w:val="24"/>
          <w:lang w:val="en-US" w:eastAsia="zh-CN" w:bidi="ar-SA"/>
        </w:rPr>
      </w:pPr>
      <w:r>
        <w:rPr>
          <w:rFonts w:ascii="宋体" w:hAnsi="宋体" w:eastAsia="宋体" w:cs="宋体"/>
          <w:kern w:val="0"/>
          <w:sz w:val="24"/>
        </w:rPr>
        <w:t>联系人：</w:t>
      </w:r>
      <w:r>
        <w:rPr>
          <w:rFonts w:hint="eastAsia" w:ascii="宋体" w:hAnsi="宋体" w:eastAsia="宋体" w:cs="宋体"/>
          <w:kern w:val="0"/>
          <w:sz w:val="24"/>
          <w:szCs w:val="24"/>
          <w:lang w:val="en-US" w:eastAsia="zh-CN" w:bidi="ar-SA"/>
        </w:rPr>
        <w:t>林</w:t>
      </w:r>
      <w:r>
        <w:rPr>
          <w:rFonts w:hint="default" w:ascii="宋体" w:hAnsi="宋体" w:eastAsia="宋体" w:cs="宋体"/>
          <w:kern w:val="0"/>
          <w:sz w:val="24"/>
          <w:szCs w:val="24"/>
          <w:lang w:val="en-US" w:eastAsia="zh-CN" w:bidi="ar-SA"/>
        </w:rPr>
        <w:t>老师 </w:t>
      </w:r>
      <w:r>
        <w:rPr>
          <w:rFonts w:hint="eastAsia" w:ascii="宋体" w:hAnsi="宋体" w:eastAsia="宋体" w:cs="宋体"/>
          <w:kern w:val="0"/>
          <w:sz w:val="24"/>
          <w:szCs w:val="24"/>
          <w:lang w:val="en-US" w:eastAsia="zh-CN" w:bidi="ar-SA"/>
        </w:rPr>
        <w:t>15205991907</w:t>
      </w:r>
    </w:p>
    <w:p>
      <w:pPr>
        <w:ind w:firstLine="422" w:firstLineChars="150"/>
        <w:rPr>
          <w:rFonts w:ascii="宋体" w:hAnsi="宋体" w:eastAsia="宋体" w:cs="宋体"/>
          <w:b/>
          <w:bCs/>
          <w:kern w:val="0"/>
          <w:sz w:val="28"/>
          <w:szCs w:val="28"/>
        </w:rPr>
      </w:pPr>
      <w:r>
        <w:rPr>
          <w:rFonts w:hint="eastAsia" w:ascii="宋体" w:hAnsi="宋体" w:eastAsia="宋体" w:cs="宋体"/>
          <w:b/>
          <w:bCs/>
          <w:kern w:val="0"/>
          <w:sz w:val="28"/>
          <w:szCs w:val="28"/>
        </w:rPr>
        <w:t>四、技术规格参数：</w:t>
      </w:r>
    </w:p>
    <w:p>
      <w:pPr>
        <w:rPr>
          <w:sz w:val="24"/>
        </w:rPr>
      </w:pPr>
    </w:p>
    <w:tbl>
      <w:tblPr>
        <w:tblStyle w:val="3"/>
        <w:tblW w:w="8474"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475"/>
        <w:gridCol w:w="619"/>
        <w:gridCol w:w="3772"/>
        <w:gridCol w:w="999"/>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7" w:hRule="atLeast"/>
        </w:trPr>
        <w:tc>
          <w:tcPr>
            <w:tcW w:w="8474" w:type="dxa"/>
            <w:gridSpan w:val="5"/>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lang w:val="en-US" w:eastAsia="zh-Hans"/>
              </w:rPr>
            </w:pPr>
            <w:r>
              <w:rPr>
                <w:rFonts w:hint="eastAsia" w:ascii="宋体" w:hAnsi="宋体" w:eastAsia="宋体" w:cs="宋体"/>
                <w:kern w:val="0"/>
                <w:sz w:val="24"/>
              </w:rPr>
              <w:t>技术规格要求</w:t>
            </w:r>
            <w:r>
              <w:rPr>
                <w:rFonts w:hint="eastAsia" w:ascii="宋体" w:hAnsi="宋体" w:eastAsia="宋体" w:cs="宋体"/>
                <w:kern w:val="0"/>
                <w:sz w:val="24"/>
                <w:lang w:val="en-US" w:eastAsia="zh-CN"/>
              </w:rPr>
              <w:t>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wAfter w:w="0" w:type="auto"/>
        </w:trPr>
        <w:tc>
          <w:tcPr>
            <w:tcW w:w="475" w:type="dxa"/>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序号</w:t>
            </w:r>
          </w:p>
        </w:tc>
        <w:tc>
          <w:tcPr>
            <w:tcW w:w="619" w:type="dxa"/>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设备名称</w:t>
            </w:r>
          </w:p>
        </w:tc>
        <w:tc>
          <w:tcPr>
            <w:tcW w:w="3772" w:type="dxa"/>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技术参数</w:t>
            </w:r>
          </w:p>
        </w:tc>
        <w:tc>
          <w:tcPr>
            <w:tcW w:w="999" w:type="dxa"/>
            <w:tcBorders>
              <w:tl2br w:val="nil"/>
              <w:tr2bl w:val="nil"/>
            </w:tcBorders>
            <w:vAlign w:val="center"/>
          </w:tcPr>
          <w:p>
            <w:pPr>
              <w:widowControl/>
              <w:spacing w:before="100" w:beforeAutospacing="1" w:after="100" w:afterAutospacing="1"/>
              <w:jc w:val="center"/>
              <w:rPr>
                <w:rFonts w:ascii="宋体" w:hAnsi="宋体" w:eastAsia="宋体" w:cs="宋体"/>
                <w:kern w:val="0"/>
                <w:sz w:val="24"/>
              </w:rPr>
            </w:pPr>
            <w:bookmarkStart w:id="0" w:name="_GoBack"/>
            <w:bookmarkEnd w:id="0"/>
            <w:r>
              <w:rPr>
                <w:rFonts w:hint="eastAsia" w:ascii="宋体" w:hAnsi="宋体" w:eastAsia="宋体" w:cs="宋体"/>
                <w:kern w:val="0"/>
                <w:sz w:val="24"/>
              </w:rPr>
              <w:t>数量</w:t>
            </w:r>
          </w:p>
        </w:tc>
        <w:tc>
          <w:tcPr>
            <w:tcW w:w="2609" w:type="dxa"/>
            <w:tcBorders>
              <w:tl2br w:val="nil"/>
              <w:tr2bl w:val="nil"/>
            </w:tcBorders>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wAfter w:w="0" w:type="auto"/>
        </w:trPr>
        <w:tc>
          <w:tcPr>
            <w:tcW w:w="475" w:type="dxa"/>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1</w:t>
            </w:r>
          </w:p>
        </w:tc>
        <w:tc>
          <w:tcPr>
            <w:tcW w:w="619" w:type="dxa"/>
            <w:tcBorders>
              <w:tl2br w:val="nil"/>
              <w:tr2bl w:val="nil"/>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微机桌</w:t>
            </w:r>
          </w:p>
        </w:tc>
        <w:tc>
          <w:tcPr>
            <w:tcW w:w="3772" w:type="dxa"/>
            <w:tcBorders>
              <w:tl2br w:val="nil"/>
              <w:tr2bl w:val="nil"/>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1、台面采用24mm中密度纤维板为基材，双面贴可弯曲0.6mm厚耐磨、防污的防火板（前鸭嘴面，后直边型）。台脚采用25mm环保优质三聚氰胺板为基材，符合国际E1级环保标准，含水率≤9%，经防潮、防虫、防腐处理，抗弯力强，不易变形；</w:t>
            </w:r>
            <w:r>
              <w:rPr>
                <w:rFonts w:hint="eastAsia" w:ascii="宋体" w:hAnsi="宋体" w:eastAsia="宋体" w:cs="宋体"/>
                <w:kern w:val="0"/>
                <w:sz w:val="24"/>
              </w:rPr>
              <w:br w:type="textWrapping"/>
            </w:r>
            <w:r>
              <w:rPr>
                <w:rFonts w:hint="eastAsia" w:ascii="宋体" w:hAnsi="宋体" w:eastAsia="宋体" w:cs="宋体"/>
                <w:kern w:val="0"/>
                <w:sz w:val="24"/>
              </w:rPr>
              <w:t>2、封边：优质pvc封边条，采用高温封边热溶胶，经全自动封边机热压与板材粘连无丝无缝，在不同地区气温、湿度的变化中不受影响，能长期不变形、不开裂；</w:t>
            </w:r>
            <w:r>
              <w:rPr>
                <w:rFonts w:hint="eastAsia" w:ascii="宋体" w:hAnsi="宋体" w:eastAsia="宋体" w:cs="宋体"/>
                <w:kern w:val="0"/>
                <w:sz w:val="24"/>
              </w:rPr>
              <w:br w:type="textWrapping"/>
            </w:r>
            <w:r>
              <w:rPr>
                <w:rFonts w:hint="eastAsia" w:ascii="宋体" w:hAnsi="宋体" w:eastAsia="宋体" w:cs="宋体"/>
                <w:kern w:val="0"/>
                <w:sz w:val="24"/>
              </w:rPr>
              <w:t>3、封边胶：采用高温封边热溶胶，热稳定好，抗高低温性能好；</w:t>
            </w:r>
            <w:r>
              <w:rPr>
                <w:rFonts w:hint="eastAsia" w:ascii="宋体" w:hAnsi="宋体" w:eastAsia="宋体" w:cs="宋体"/>
                <w:kern w:val="0"/>
                <w:sz w:val="24"/>
              </w:rPr>
              <w:br w:type="textWrapping"/>
            </w:r>
            <w:r>
              <w:rPr>
                <w:rFonts w:hint="eastAsia" w:ascii="宋体" w:hAnsi="宋体" w:eastAsia="宋体" w:cs="宋体"/>
                <w:kern w:val="0"/>
                <w:sz w:val="24"/>
              </w:rPr>
              <w:t>4、贴面胶：采用环保胶水，符合国际E1级环保标准；</w:t>
            </w:r>
            <w:r>
              <w:rPr>
                <w:rFonts w:hint="eastAsia" w:ascii="宋体" w:hAnsi="宋体" w:eastAsia="宋体" w:cs="宋体"/>
                <w:kern w:val="0"/>
                <w:sz w:val="24"/>
              </w:rPr>
              <w:br w:type="textWrapping"/>
            </w:r>
            <w:r>
              <w:rPr>
                <w:rFonts w:hint="eastAsia" w:ascii="宋体" w:hAnsi="宋体" w:eastAsia="宋体" w:cs="宋体"/>
                <w:kern w:val="0"/>
                <w:sz w:val="24"/>
              </w:rPr>
              <w:t xml:space="preserve">5、五金配件：采用优质五金配件，所有五金件作防锈、防腐处理；导轨-三节，拉趟次数超过10万次，隐藏式滑道带防滑脱系统，滑动无声。   </w:t>
            </w:r>
          </w:p>
        </w:tc>
        <w:tc>
          <w:tcPr>
            <w:tcW w:w="999" w:type="dxa"/>
            <w:tcBorders>
              <w:tl2br w:val="nil"/>
              <w:tr2bl w:val="nil"/>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70张</w:t>
            </w:r>
          </w:p>
        </w:tc>
        <w:tc>
          <w:tcPr>
            <w:tcW w:w="2609" w:type="dxa"/>
            <w:tcBorders>
              <w:tl2br w:val="nil"/>
              <w:tr2bl w:val="nil"/>
            </w:tcBorders>
            <w:vAlign w:val="center"/>
          </w:tcPr>
          <w:p>
            <w:pPr>
              <w:widowControl/>
              <w:spacing w:before="100" w:beforeAutospacing="1" w:after="100" w:afterAutospacing="1" w:line="360" w:lineRule="auto"/>
              <w:jc w:val="both"/>
              <w:rPr>
                <w:rFonts w:hint="eastAsia" w:ascii="宋体" w:hAnsi="宋体" w:eastAsia="宋体" w:cs="宋体"/>
                <w:kern w:val="0"/>
                <w:sz w:val="24"/>
              </w:rPr>
            </w:pPr>
            <w:r>
              <w:rPr>
                <w:rFonts w:hint="default" w:ascii="宋体" w:hAnsi="宋体" w:eastAsia="宋体" w:cs="宋体"/>
                <w:kern w:val="0"/>
                <w:sz w:val="24"/>
              </w:rPr>
              <w:t xml:space="preserve">                            </w:t>
            </w:r>
            <w:r>
              <w:rPr>
                <w:rFonts w:hint="default" w:ascii="宋体" w:hAnsi="宋体" w:eastAsia="宋体" w:cs="宋体"/>
                <w:kern w:val="0"/>
                <w:sz w:val="24"/>
              </w:rPr>
              <w:drawing>
                <wp:inline distT="0" distB="0" distL="114300" distR="114300">
                  <wp:extent cx="1732915" cy="1300480"/>
                  <wp:effectExtent l="0" t="0" r="19685" b="20320"/>
                  <wp:docPr id="3" name="图片 3" descr="Wechat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
                          <pic:cNvPicPr>
                            <a:picLocks noChangeAspect="1"/>
                          </pic:cNvPicPr>
                        </pic:nvPicPr>
                        <pic:blipFill>
                          <a:blip r:embed="rId4"/>
                          <a:stretch>
                            <a:fillRect/>
                          </a:stretch>
                        </pic:blipFill>
                        <pic:spPr>
                          <a:xfrm>
                            <a:off x="0" y="0"/>
                            <a:ext cx="1732915" cy="1300480"/>
                          </a:xfrm>
                          <a:prstGeom prst="rect">
                            <a:avLst/>
                          </a:prstGeom>
                        </pic:spPr>
                      </pic:pic>
                    </a:graphicData>
                  </a:graphic>
                </wp:inline>
              </w:drawing>
            </w:r>
            <w:r>
              <w:rPr>
                <w:rFonts w:hint="default" w:ascii="宋体" w:hAnsi="宋体" w:eastAsia="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wAfter w:w="0" w:type="auto"/>
        </w:trPr>
        <w:tc>
          <w:tcPr>
            <w:tcW w:w="475" w:type="dxa"/>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2</w:t>
            </w:r>
          </w:p>
        </w:tc>
        <w:tc>
          <w:tcPr>
            <w:tcW w:w="619" w:type="dxa"/>
            <w:tcBorders>
              <w:tl2br w:val="nil"/>
              <w:tr2bl w:val="nil"/>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sz w:val="24"/>
              </w:rPr>
              <w:t>电脑椅</w:t>
            </w:r>
          </w:p>
        </w:tc>
        <w:tc>
          <w:tcPr>
            <w:tcW w:w="3772" w:type="dxa"/>
            <w:tcBorders>
              <w:tl2br w:val="nil"/>
              <w:tr2bl w:val="nil"/>
            </w:tcBorders>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lang w:eastAsia="zh-CN"/>
              </w:rPr>
            </w:pPr>
            <w:r>
              <w:rPr>
                <w:rFonts w:hint="eastAsia" w:ascii="宋体" w:hAnsi="宋体" w:eastAsia="宋体" w:cs="宋体"/>
                <w:kern w:val="0"/>
                <w:sz w:val="24"/>
              </w:rPr>
              <w:t>1、椅子总高820mm 宽度380mm 深度390mm（凳面高度440mm）</w:t>
            </w:r>
            <w:r>
              <w:rPr>
                <w:rFonts w:hint="eastAsia" w:ascii="宋体" w:hAnsi="宋体" w:eastAsia="宋体" w:cs="宋体"/>
                <w:kern w:val="0"/>
                <w:sz w:val="24"/>
                <w:lang w:eastAsia="zh-CN"/>
              </w:rPr>
              <w:t>；</w:t>
            </w:r>
            <w:r>
              <w:rPr>
                <w:rFonts w:hint="eastAsia" w:ascii="宋体" w:hAnsi="宋体" w:eastAsia="宋体" w:cs="宋体"/>
                <w:kern w:val="0"/>
                <w:sz w:val="24"/>
              </w:rPr>
              <w:t xml:space="preserve"> </w:t>
            </w:r>
            <w:r>
              <w:rPr>
                <w:rFonts w:hint="eastAsia" w:ascii="宋体" w:hAnsi="宋体" w:eastAsia="宋体" w:cs="宋体"/>
                <w:kern w:val="0"/>
                <w:sz w:val="24"/>
              </w:rPr>
              <w:br w:type="textWrapping"/>
            </w:r>
            <w:r>
              <w:rPr>
                <w:rFonts w:hint="eastAsia" w:ascii="宋体" w:hAnsi="宋体" w:eastAsia="宋体" w:cs="宋体"/>
                <w:kern w:val="0"/>
                <w:sz w:val="24"/>
              </w:rPr>
              <w:t>2.座背：采用全新PE中空吹塑一次成型，座板带透气孔；</w:t>
            </w:r>
            <w:r>
              <w:rPr>
                <w:rFonts w:hint="eastAsia" w:ascii="宋体" w:hAnsi="宋体" w:eastAsia="宋体" w:cs="宋体"/>
                <w:kern w:val="0"/>
                <w:sz w:val="24"/>
              </w:rPr>
              <w:br w:type="textWrapping"/>
            </w:r>
            <w:r>
              <w:rPr>
                <w:rFonts w:hint="eastAsia" w:ascii="宋体" w:hAnsi="宋体" w:eastAsia="宋体" w:cs="宋体"/>
                <w:kern w:val="0"/>
                <w:sz w:val="24"/>
              </w:rPr>
              <w:t>3.椅架：采用40*20*1.2mm椭圆管经抽芯弯后焊接而成，座框采40*20*1.2mmD型管；</w:t>
            </w:r>
            <w:r>
              <w:rPr>
                <w:rFonts w:hint="eastAsia" w:ascii="宋体" w:hAnsi="宋体" w:eastAsia="宋体" w:cs="宋体"/>
                <w:kern w:val="0"/>
                <w:sz w:val="24"/>
              </w:rPr>
              <w:br w:type="textWrapping"/>
            </w:r>
            <w:r>
              <w:rPr>
                <w:rFonts w:hint="eastAsia" w:ascii="宋体" w:hAnsi="宋体" w:eastAsia="宋体" w:cs="宋体"/>
                <w:kern w:val="0"/>
                <w:sz w:val="24"/>
              </w:rPr>
              <w:t>4.铁件处理：经酸洗去油、去锈、磷化后，静电喷涂，高温烘焗固化</w:t>
            </w:r>
            <w:r>
              <w:rPr>
                <w:rFonts w:hint="eastAsia" w:ascii="宋体" w:hAnsi="宋体" w:eastAsia="宋体" w:cs="宋体"/>
                <w:kern w:val="0"/>
                <w:sz w:val="24"/>
                <w:lang w:eastAsia="zh-CN"/>
              </w:rPr>
              <w:t>。</w:t>
            </w:r>
          </w:p>
        </w:tc>
        <w:tc>
          <w:tcPr>
            <w:tcW w:w="999" w:type="dxa"/>
            <w:tcBorders>
              <w:tl2br w:val="nil"/>
              <w:tr2bl w:val="nil"/>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140把</w:t>
            </w:r>
          </w:p>
        </w:tc>
        <w:tc>
          <w:tcPr>
            <w:tcW w:w="2609" w:type="dxa"/>
            <w:tcBorders>
              <w:tl2br w:val="nil"/>
              <w:tr2bl w:val="nil"/>
            </w:tcBorders>
            <w:vAlign w:val="center"/>
          </w:tcPr>
          <w:p>
            <w:pPr>
              <w:widowControl/>
              <w:spacing w:before="100" w:beforeAutospacing="1" w:after="100" w:afterAutospacing="1" w:line="360" w:lineRule="auto"/>
              <w:jc w:val="center"/>
              <w:rPr>
                <w:rFonts w:hint="eastAsia" w:ascii="宋体" w:hAnsi="宋体" w:eastAsia="宋体" w:cs="宋体"/>
                <w:kern w:val="0"/>
                <w:sz w:val="24"/>
              </w:rPr>
            </w:pPr>
            <w:r>
              <w:rPr>
                <w:rFonts w:hint="eastAsia" w:ascii="宋体" w:hAnsi="宋体" w:eastAsia="宋体" w:cs="宋体"/>
                <w:kern w:val="0"/>
                <w:sz w:val="24"/>
              </w:rPr>
              <w:drawing>
                <wp:inline distT="0" distB="0" distL="114300" distR="114300">
                  <wp:extent cx="1732915" cy="1300480"/>
                  <wp:effectExtent l="0" t="0" r="19685" b="20320"/>
                  <wp:docPr id="2" name="图片 2" descr="Wechat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
                          <pic:cNvPicPr>
                            <a:picLocks noChangeAspect="1"/>
                          </pic:cNvPicPr>
                        </pic:nvPicPr>
                        <pic:blipFill>
                          <a:blip r:embed="rId4"/>
                          <a:stretch>
                            <a:fillRect/>
                          </a:stretch>
                        </pic:blipFill>
                        <pic:spPr>
                          <a:xfrm>
                            <a:off x="0" y="0"/>
                            <a:ext cx="1732915" cy="13004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wAfter w:w="0" w:type="auto"/>
        </w:trPr>
        <w:tc>
          <w:tcPr>
            <w:tcW w:w="475" w:type="dxa"/>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3</w:t>
            </w:r>
          </w:p>
        </w:tc>
        <w:tc>
          <w:tcPr>
            <w:tcW w:w="619" w:type="dxa"/>
            <w:tcBorders>
              <w:tl2br w:val="nil"/>
              <w:tr2bl w:val="nil"/>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color w:val="000000"/>
                <w:sz w:val="32"/>
                <w:szCs w:val="32"/>
              </w:rPr>
            </w:pPr>
            <w:r>
              <w:rPr>
                <w:rFonts w:hint="eastAsia" w:ascii="宋体" w:hAnsi="宋体" w:eastAsia="宋体" w:cs="宋体"/>
                <w:kern w:val="0"/>
                <w:sz w:val="24"/>
              </w:rPr>
              <w:t>多媒体讲台</w:t>
            </w:r>
          </w:p>
        </w:tc>
        <w:tc>
          <w:tcPr>
            <w:tcW w:w="3772" w:type="dxa"/>
            <w:tcBorders>
              <w:tl2br w:val="nil"/>
              <w:tr2bl w:val="nil"/>
            </w:tcBorders>
            <w:tcMar>
              <w:top w:w="0" w:type="dxa"/>
              <w:left w:w="105" w:type="dxa"/>
              <w:bottom w:w="0" w:type="dxa"/>
              <w:right w:w="105" w:type="dxa"/>
            </w:tcMa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选用 1.2mm 优质冷轧钢板，经数控设备加工而成，表面经酸洗、磷化、防腐、防锈、钝化处理后静电喷塑（颜色用户可选定），塑面经久耐用；扶手选用高档橡木精细加工而成，表面喷高档油漆（颜色用户可以选定），讲台采用平滑圆弧过渡设计，安全、美观，内部钢板无棱边及毛刺；安全防盗，一把钥匙开启整个讲台，前后门通用；桌面前方挡板预留有线孔，使用时轻轻敲落即可，显示器、键盘、鼠标、笔记本电源线等可轻松穿过；讲台配备有前开式粉笔、白板笔抽屉，采用优质品牌承重轨道； 讲台机箱托盘高度可调，可放置电脑主机、音响等设备，机箱后门可开，便于设备检修，前后门冲精美散热孔，便于设备平稳运行；柜内有固定线的托条，使拒内线井然有序，既美观又方便检修。</w:t>
            </w:r>
          </w:p>
        </w:tc>
        <w:tc>
          <w:tcPr>
            <w:tcW w:w="999" w:type="dxa"/>
            <w:tcBorders>
              <w:tl2br w:val="nil"/>
              <w:tr2bl w:val="nil"/>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2张</w:t>
            </w:r>
          </w:p>
        </w:tc>
        <w:tc>
          <w:tcPr>
            <w:tcW w:w="2609" w:type="dxa"/>
            <w:tcBorders>
              <w:tl2br w:val="nil"/>
              <w:tr2bl w:val="nil"/>
            </w:tcBorders>
            <w:vAlign w:val="center"/>
          </w:tcPr>
          <w:p>
            <w:pPr>
              <w:widowControl/>
              <w:spacing w:before="100" w:beforeAutospacing="1" w:after="100" w:afterAutospacing="1" w:line="360" w:lineRule="auto"/>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wAfter w:w="0" w:type="auto"/>
        </w:trPr>
        <w:tc>
          <w:tcPr>
            <w:tcW w:w="475" w:type="dxa"/>
            <w:tcBorders>
              <w:tl2br w:val="nil"/>
              <w:tr2bl w:val="nil"/>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4</w:t>
            </w:r>
          </w:p>
        </w:tc>
        <w:tc>
          <w:tcPr>
            <w:tcW w:w="619" w:type="dxa"/>
            <w:tcBorders>
              <w:tl2br w:val="nil"/>
              <w:tr2bl w:val="nil"/>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讲台椅</w:t>
            </w:r>
          </w:p>
        </w:tc>
        <w:tc>
          <w:tcPr>
            <w:tcW w:w="3772" w:type="dxa"/>
            <w:tcBorders>
              <w:tl2br w:val="nil"/>
              <w:tr2bl w:val="nil"/>
            </w:tcBorders>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 xml:space="preserve">1、棉麻布料： </w:t>
            </w:r>
            <w:r>
              <w:rPr>
                <w:rFonts w:hint="eastAsia" w:ascii="宋体" w:hAnsi="宋体" w:eastAsia="宋体" w:cs="宋体"/>
                <w:kern w:val="0"/>
                <w:sz w:val="24"/>
              </w:rPr>
              <w:br w:type="textWrapping"/>
            </w:r>
            <w:r>
              <w:rPr>
                <w:rFonts w:hint="eastAsia" w:ascii="宋体" w:hAnsi="宋体" w:eastAsia="宋体" w:cs="宋体"/>
                <w:kern w:val="0"/>
                <w:sz w:val="24"/>
              </w:rPr>
              <w:t xml:space="preserve">2、曲木板：外观与理化性能要求符合GB/T 22350-2017标准；甲醛符合GB 18580-2017标准，TVOC符合HJ 571-2010标准，TVOC≤0.10mg/㎡.h </w:t>
            </w:r>
            <w:r>
              <w:rPr>
                <w:rFonts w:hint="eastAsia" w:ascii="宋体" w:hAnsi="宋体" w:eastAsia="宋体" w:cs="宋体"/>
                <w:kern w:val="0"/>
                <w:sz w:val="24"/>
              </w:rPr>
              <w:br w:type="textWrapping"/>
            </w:r>
            <w:r>
              <w:rPr>
                <w:rFonts w:hint="eastAsia" w:ascii="宋体" w:hAnsi="宋体" w:eastAsia="宋体" w:cs="宋体"/>
                <w:kern w:val="0"/>
                <w:sz w:val="24"/>
              </w:rPr>
              <w:t>3、高弹海绵:采用优质高弹海绵，反复坐压，不变形；</w:t>
            </w:r>
            <w:r>
              <w:rPr>
                <w:rFonts w:hint="eastAsia" w:ascii="宋体" w:hAnsi="宋体" w:eastAsia="宋体" w:cs="宋体"/>
                <w:kern w:val="0"/>
                <w:sz w:val="24"/>
              </w:rPr>
              <w:br w:type="textWrapping"/>
            </w:r>
            <w:r>
              <w:rPr>
                <w:rFonts w:hint="eastAsia" w:ascii="宋体" w:hAnsi="宋体" w:eastAsia="宋体" w:cs="宋体"/>
                <w:kern w:val="0"/>
                <w:sz w:val="24"/>
              </w:rPr>
              <w:t>4、底盘:符合QB/T 2280-2016标准、GB/T 3325-2017标准、GB 24820-2009标准，其中外观要求、金属喷漆涂层的硬度达3H，冲击强度、耐腐蚀、附着力均合格</w:t>
            </w:r>
            <w:r>
              <w:rPr>
                <w:rFonts w:hint="eastAsia" w:ascii="宋体" w:hAnsi="宋体" w:eastAsia="宋体" w:cs="宋体"/>
                <w:kern w:val="0"/>
                <w:sz w:val="24"/>
              </w:rPr>
              <w:br w:type="textWrapping"/>
            </w:r>
            <w:r>
              <w:rPr>
                <w:rFonts w:hint="eastAsia" w:ascii="宋体" w:hAnsi="宋体" w:eastAsia="宋体" w:cs="宋体"/>
                <w:kern w:val="0"/>
                <w:sz w:val="24"/>
              </w:rPr>
              <w:t>5、气压棒:符合QB/T 2280-2016、GB/T 29525-2013标准，</w:t>
            </w:r>
            <w:r>
              <w:rPr>
                <w:rFonts w:hint="eastAsia" w:ascii="宋体" w:hAnsi="宋体" w:eastAsia="宋体" w:cs="宋体"/>
                <w:kern w:val="0"/>
                <w:sz w:val="24"/>
              </w:rPr>
              <w:br w:type="textWrapping"/>
            </w:r>
            <w:r>
              <w:rPr>
                <w:rFonts w:hint="eastAsia" w:ascii="宋体" w:hAnsi="宋体" w:eastAsia="宋体" w:cs="宋体"/>
                <w:kern w:val="0"/>
                <w:sz w:val="24"/>
              </w:rPr>
              <w:t>6、五星脚:钢制五星脚架</w:t>
            </w:r>
          </w:p>
        </w:tc>
        <w:tc>
          <w:tcPr>
            <w:tcW w:w="999" w:type="dxa"/>
            <w:tcBorders>
              <w:tl2br w:val="nil"/>
              <w:tr2bl w:val="nil"/>
            </w:tcBorders>
            <w:vAlign w:val="center"/>
          </w:tcPr>
          <w:p>
            <w:pPr>
              <w:widowControl/>
              <w:spacing w:before="100" w:beforeAutospacing="1" w:after="100" w:afterAutospacing="1" w:line="360" w:lineRule="auto"/>
              <w:jc w:val="center"/>
              <w:rPr>
                <w:rFonts w:ascii="宋体" w:hAnsi="宋体" w:eastAsia="宋体" w:cs="宋体"/>
                <w:kern w:val="0"/>
                <w:sz w:val="24"/>
              </w:rPr>
            </w:pPr>
            <w:r>
              <w:rPr>
                <w:rFonts w:hint="eastAsia" w:ascii="宋体" w:hAnsi="宋体" w:eastAsia="宋体" w:cs="宋体"/>
                <w:kern w:val="0"/>
                <w:sz w:val="24"/>
              </w:rPr>
              <w:t>2把</w:t>
            </w:r>
          </w:p>
        </w:tc>
        <w:tc>
          <w:tcPr>
            <w:tcW w:w="2609" w:type="dxa"/>
            <w:tcBorders>
              <w:tl2br w:val="nil"/>
              <w:tr2bl w:val="nil"/>
            </w:tcBorders>
            <w:vAlign w:val="center"/>
          </w:tcPr>
          <w:p>
            <w:pPr>
              <w:widowControl/>
              <w:spacing w:before="100" w:beforeAutospacing="1" w:after="100" w:afterAutospacing="1" w:line="360" w:lineRule="auto"/>
              <w:jc w:val="center"/>
              <w:rPr>
                <w:rFonts w:hint="eastAsia" w:ascii="宋体" w:hAnsi="宋体" w:eastAsia="宋体" w:cs="宋体"/>
                <w:kern w:val="0"/>
                <w:sz w:val="24"/>
              </w:rPr>
            </w:pPr>
          </w:p>
        </w:tc>
      </w:tr>
    </w:tbl>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五、安装以及调试要求：</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1.投标人所投的产品是同一个品牌，且为品牌厂家的常规产品。</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2.室内摆放按线路走向。</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3.售后服务及保修承诺要求：保修期3年，从验收合格之日起开始计算。非人为原因的损坏产品和产品使用正常的情况下产生质量问题由中标人免费维修。售后响应时间：不超过24小时。</w:t>
      </w:r>
    </w:p>
    <w:p>
      <w:pPr>
        <w:widowControl/>
        <w:shd w:val="clear" w:color="auto" w:fill="FFFFFF"/>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4.投标人报价包含运输、安装、调试等一切费用。本项目为交钥匙工程，中标价即为最终合同总价，采购人不再增加任何费用。</w:t>
      </w:r>
    </w:p>
    <w:p>
      <w:pPr>
        <w:widowControl/>
        <w:shd w:val="clear" w:color="auto" w:fill="FFFFFF"/>
        <w:spacing w:line="360" w:lineRule="auto"/>
        <w:ind w:firstLine="480" w:firstLineChars="200"/>
        <w:jc w:val="left"/>
        <w:rPr>
          <w:rFonts w:hint="eastAsia" w:ascii="宋体" w:hAnsi="宋体" w:eastAsia="宋体" w:cs="宋体"/>
          <w:kern w:val="0"/>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828D"/>
    <w:multiLevelType w:val="singleLevel"/>
    <w:tmpl w:val="57C882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jY4YTZiMTNjNjE3NjMxZWE2MTA3NzQ5NmM5NmUifQ=="/>
  </w:docVars>
  <w:rsids>
    <w:rsidRoot w:val="7395571E"/>
    <w:rsid w:val="000A52F6"/>
    <w:rsid w:val="000C6CA3"/>
    <w:rsid w:val="00116AC0"/>
    <w:rsid w:val="001560FF"/>
    <w:rsid w:val="001623A6"/>
    <w:rsid w:val="001B4520"/>
    <w:rsid w:val="002A2BEE"/>
    <w:rsid w:val="00337C38"/>
    <w:rsid w:val="003B691C"/>
    <w:rsid w:val="004D0011"/>
    <w:rsid w:val="00513571"/>
    <w:rsid w:val="005A7CD2"/>
    <w:rsid w:val="005D5909"/>
    <w:rsid w:val="00741803"/>
    <w:rsid w:val="00745B47"/>
    <w:rsid w:val="007D008F"/>
    <w:rsid w:val="007E5EF8"/>
    <w:rsid w:val="0085092C"/>
    <w:rsid w:val="00852FFF"/>
    <w:rsid w:val="00865956"/>
    <w:rsid w:val="008B5014"/>
    <w:rsid w:val="00AB0359"/>
    <w:rsid w:val="00B35E9A"/>
    <w:rsid w:val="00B77F50"/>
    <w:rsid w:val="00BA443F"/>
    <w:rsid w:val="00BA7081"/>
    <w:rsid w:val="00BE5D36"/>
    <w:rsid w:val="00CB23F6"/>
    <w:rsid w:val="00CF4E7D"/>
    <w:rsid w:val="00D62D9C"/>
    <w:rsid w:val="00DE7A5A"/>
    <w:rsid w:val="00E45E3E"/>
    <w:rsid w:val="00ED47A5"/>
    <w:rsid w:val="00F4014D"/>
    <w:rsid w:val="00F65BA6"/>
    <w:rsid w:val="00FF6FA9"/>
    <w:rsid w:val="0307547C"/>
    <w:rsid w:val="046C232F"/>
    <w:rsid w:val="0BE84AF0"/>
    <w:rsid w:val="11822C48"/>
    <w:rsid w:val="11B04EDA"/>
    <w:rsid w:val="14735BD2"/>
    <w:rsid w:val="1F356648"/>
    <w:rsid w:val="276B734C"/>
    <w:rsid w:val="29603D6C"/>
    <w:rsid w:val="2D01255E"/>
    <w:rsid w:val="566A50E1"/>
    <w:rsid w:val="612646D8"/>
    <w:rsid w:val="67E668D0"/>
    <w:rsid w:val="6A5E7F3A"/>
    <w:rsid w:val="6E8C67EC"/>
    <w:rsid w:val="7395571E"/>
    <w:rsid w:val="76D82CB1"/>
    <w:rsid w:val="BBDF46EE"/>
    <w:rsid w:val="FBFED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1372</Words>
  <Characters>1574</Characters>
  <Lines>11</Lines>
  <Paragraphs>3</Paragraphs>
  <TotalTime>12</TotalTime>
  <ScaleCrop>false</ScaleCrop>
  <LinksUpToDate>false</LinksUpToDate>
  <CharactersWithSpaces>1636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2023-05-10T07:23:00Z</dcterms:created>
  <dc:creator>吴美金</dc:creator>
  <cp:lastModifiedBy>小金乌</cp:lastModifiedBy>
  <cp:lastPrinted>2023-05-12T03:29:00Z</cp:lastPrinted>
  <dcterms:modified xsi:type="dcterms:W3CDTF">2023-05-23T02:45:35Z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1F226C1D097C469D88F1EE9644A25298_13</vt:lpwstr>
  </property>
</Properties>
</file>